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43</w:t>
      </w:r>
    </w:p>
    <w:p>
      <w:r>
        <w:t>Bundesgericht (BGE), 1983-01-10, DE</w:t>
      </w:r>
    </w:p>
    <w:p>
      <w:r>
        <w:rPr>
          <w:b/>
        </w:rPr>
        <w:t xml:space="preserve">Quelle: </w:t>
      </w:r>
      <w:r>
        <w:t>https://mcp.opencaselaw.ch/entscheid/bge_109 II 43</w:t>
      </w:r>
    </w:p>
    <w:p>
      <w:r>
        <w:t>FR: ATF 109 II 43</w:t>
      </w:r>
    </w:p>
    <w:p>
      <w:r>
        <w:t>IT: DTF 109 II 43</w:t>
      </w:r>
    </w:p>
    <w:p>
      <w:pPr>
        <w:pStyle w:val="Heading2"/>
      </w:pPr>
      <w:r>
        <w:t>Regeste</w:t>
      </w:r>
    </w:p>
    <w:p>
      <w:r>
        <w:t>Regeste Aktionärbindungsvertrag. Abstimmungsvereinbarung; rechtsmissbräuchliche Umgehung statutarischer Vinkulierungsvorschriften (Art. 686, 692 OR; Art. 2 Abs. 2 ZGB).</w:t>
      </w:r>
    </w:p>
    <w:p>
      <w:pPr>
        <w:pStyle w:val="Heading2"/>
      </w:pPr>
      <w:r>
        <w:t>Erwägungen</w:t>
      </w:r>
    </w:p>
    <w:p>
      <w:r>
        <w:rPr>
          <w:b/>
        </w:rPr>
        <w:t>E. 1</w:t>
      </w:r>
    </w:p>
    <w:p>
      <w:r>
        <w:t>Im Unterschied zum Bezirksgericht sieht das Obergericht in der Vereinbarung vom 26. Februar 1965 nicht einen Aktionärbindungsvertrag als vertragliche Verpflichtung, sondern eine Stimmrechtszession als Verfügungsgeschäft. Dem ist zuzustimmen, weil Dubler sich nicht verpflichtete, sein Stimmrecht in einem bestimmten Sinn auszuüben, sondern dieses direkt der Klägerin übertrug. Ein solches Vorgehen ist nicht zulässig, weil bei vinkulierten Namensaktien ohne Zustimmung der Gesellschaft zwar vermögensrechtliche Ansprüche, nicht aber das Stimmrecht übertragen werden können, wie das Obergericht mit Recht festhält ( BGE 90 II 239 E. 2; BGE 83 II 302 E. 4). Das Verfügungsgeschäft ist demnach ungültig. Die Klägerin kann daraus keinen Rechtsanspruch ableiten.</w:t>
      </w:r>
    </w:p>
    <w:p>
      <w:r>
        <w:rPr>
          <w:b/>
        </w:rPr>
        <w:t>E. 2</w:t>
      </w:r>
    </w:p>
    <w:p>
      <w:r>
        <w:t>Es bleibt zu prüfen, ob die Stimmrechtszession durch Konversion in ein gültiges Rechtsgeschäft umgedeutet werden könne, wie es die Partner abgeschlossen hätten, wenn ihnen die Unwirksamkeit der Zession bekannt gewesen wäre ( BGE 103 II 184 , BGE 93 II 452 E. 5 mit Hinweisen). BGE 109 II 43 S. 45 Die Klägerin anerkennt zu Recht, dass ihr die Umdeutung der Vereinbarung in eine auf Mandat beruhende Stimmrechtsvollmacht nichts hilft, weil ein Widerruf zulässig und damit die Stimmabgabe Dublers nicht vertragswidrig gewesen wäre ( Art. 34 Abs. 1, Art. 404 Abs. 1 OR ). Sie macht indessen geltend, das Geschäft könne in eine einfache Gesellschaft umgedeutet werden. Der Beklagte hält dem entgegen, die höchst einseitige Bindung Dublers schliesse eine einfache Gesellschaft aus. Es könne bestenfalls ein Innominatkontrakt vorliegen. Für die Ansicht der Klägerin spricht, dass der Vertrag vom 26. Februar 1965 sich in der Einleitung auf das Bemühen berief, die Veräusserung der Firma zu vermeiden und eine Sanierung herbeizuführen. Zu diesem Zweck sollte der Klägerin mit der Abtretung der Stimmen Dublers eine Stimmenmehrheit verschafft werden (55 eigene und 60 abgetretene von insgesamt 225 Stimmen). In der Folge sollte zwar Dubler Verwaltungsrat der Gesellschaft werden, aber völlig dem von der Klägerin eingesetzten Geschäftsführer unterstellt sein. Das entspricht nicht der Situation einer einfachen Gesellschaft, wie sie namentlich in Form eines Aktionärpools bzw. -syndikats bestehen kann, sondern eher einem einseitigen Aktionärbindungsvertrag sui generis (vgl. zur Unterscheidung insbesondere BÜRGI, Art. 692 OR N. 35 ff.; PATRY, Précis de droit suisse des sociétés, vol. II S. 56 ff.; PATRY in ZSR 78/1959 II S. 42a ff. und 125a; GLATTFELDER in ZSR 78/1959 II S. 161a und 229a ff.; DOHM, Les accords sur l'exercice du droit de vote de l'actionnaire, Diss. Genf 1971, S. 120, 126; LÜBBERT, Abstimmungsvereinbarungen in den Aktien- und GmbH-Rechten der EWG-Staaten, der Schweiz und Grossbritanniens, Baden-Baden 1971, S. 249 ff.). Wie es sich damit verhält, braucht indessen nicht abschliessend geprüft zu werden, da eine solche Vereinbarung im vorliegenden Fall ohnehin unbeachtlich wäre.</w:t>
      </w:r>
    </w:p>
    <w:p>
      <w:r>
        <w:rPr>
          <w:b/>
        </w:rPr>
        <w:t>E. 3</w:t>
      </w:r>
    </w:p>
    <w:p>
      <w:r>
        <w:t>Ein Aktionärbindungsvertrag, namentlich auch in der Form einer Abstimmungsverpflichtung, ist grundsätzlich zulässig ( BGE 88 II 174 E. 1; BÜRGI, Art. 692 OR N. 27 ff.; PATRY, Précis S. 58 ff.; PATRY, ZSR S. 62a ff.; GLATTFELDER, S. 225a, 245a ff., 262a; DOHM, insbesondere S. 90; FORSTMOSER/MEIER-HAYOZ, Einführung in das Schweizerische Aktienrecht, 2. Aufl. S. 48 und 158). Die Vereinbarung muss indessen die allgemeinen Schranken der Vertragsfreiheit beachten und darf weder gegen zwingende gesetzliche Vorschriften noch gegen die öffentliche Ordnung, die guten Sitten oder das Recht der Persönlichkeit verstossen ( Art. 19 Abs. 2 OR ). BGE 109 II 43 S. 46 a) Das Obergericht erblickt in der streitigen Stimmrechtsvereinbarung eine Umgehung der statutarischen Vorschrift, dass die Namenaktien der FHW nur mit Zustimmung des Verwaltungsrats übertragen werden können. Damit werde u.a. eine nicht erwünschte Mehrheitsbildung verhindert, weshalb die Umgehung durch die Vereinbarung als offenbarer Rechtsmissbrauch keinen Rechtsschutz finden könne. Die Klägerin stellt nicht in Abrede, dass sie mit der Vereinbarung (deren Ziffer 2 das auch festhält) die Mehrheitsstellung in der Gesellschaft erlangen wollte. Sie verneint jedoch eine Umgehung der Vinkulierungsvorschriften, weil der damalige einzige Verwaltungsrat Wullschleger sich verpflichtet habe, seine Aktien an die Klägerin zu verkaufen; er hätte sich daher als Verwaltungsrat sowenig wie Dubler in guten Treuen einer Übertragung der Aktien widersetzen dürfen. Wie es sich damit im einzelnen verhält, kann offen bleiben. Es ergibt sich schon aus der Einleitung der Vereinbarung klar, dass mit dem Stimmenerwerb der damalige Verwaltungsrat überspielt werden sollte. Die Partner erklärten darin, die Vereinbarung bezwecke, die vom Verwaltungsrat als unabwendbar erachtete Veräusserung der FHW zu vermeiden. Die streitige Vereinbarung lief daher offenkundig darauf hinaus, der Klägerin eine Mehrheitsstellung zu verschaffen, welche den Intentionen der Verwaltung widersprach und von dieser bei statutengemässem Vorgehen der Klägerin hätte verhindert werden können. b) Stimmrechtsvereinbarungen, mit welchen statutarische Vinkulierungsbestimmungen umgangen werden sollen, sind rechtsmissbräuchlich und deshalb unbeachtlich ( BGE 81 II 539 E. 3; BÜRGI, Art. 692 OR N. 32; FORSTMOSER/MEIER-HAYOZ, S. 158, GLATTFELDER, S. 267a ff.; PATRY, Précis S. 61, ZSR S. 47a f., 98a ff.). Dabei soll mit der Vinkulierung nicht nur verhindert werden, dass unliebsame Dritte Aktien erwerben und auf die Gesellschaft Einfluss nehmen können, sondern auch, dass einzelne Aktionäre ihre bisherige Stellung verstärken und ein bestehendes Gleichgewicht gefährden können. Sonst könnte ein Aktionär mit der durch die Vereinbarung gewonnenen Stimmenmehrheit den bisherigen Verwaltungsrat ersetzen und dann von der neuen, ihm genehmen Verwaltung die Übertragung der Aktien genehmigen lassen ( BGE 81 II 540 ; 90 II 245 ; BÜRGI, Art. 686 OR N. 12 und 35, DOHM, S. 104). c) Die Klägerin kann sich mithin nicht auf die Stimmrechtsvereinbarung berufen. Damit entfällt eine Vertragsverletzung durch BGE 109 II 43 S. 47 Dubler. Die Klage ist bereits aus diesem Grund abzuweisen. Die Prüfung weiterer Fragen erübrigt sich; namentlich kann dahingestellt bleiben, ob die Vereinbarung auch als sittenwidrig zu betrachten wäre, die das Obergericht annimmt.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